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0B4F" w14:textId="77777777" w:rsidR="008A07D9" w:rsidRPr="002938E3" w:rsidRDefault="008A07D9" w:rsidP="00F541A2">
      <w:pPr>
        <w:rPr>
          <w:rFonts w:ascii="Times New Roman" w:hAnsi="Times New Roman" w:cs="Times New Roman"/>
          <w:sz w:val="24"/>
          <w:szCs w:val="24"/>
        </w:rPr>
      </w:pPr>
    </w:p>
    <w:p w14:paraId="221701BF" w14:textId="77777777" w:rsidR="008A07D9" w:rsidRPr="002938E3" w:rsidRDefault="008A07D9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0ACF7" w14:textId="77777777" w:rsidR="008A07D9" w:rsidRPr="002938E3" w:rsidRDefault="008A07D9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43243BB" w14:textId="29B6503B" w:rsidR="008A07D9" w:rsidRPr="002938E3" w:rsidRDefault="008A07D9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38E3">
        <w:rPr>
          <w:rFonts w:ascii="Times New Roman" w:hAnsi="Times New Roman" w:cs="Times New Roman"/>
          <w:b/>
          <w:bCs/>
          <w:sz w:val="24"/>
          <w:szCs w:val="24"/>
        </w:rPr>
        <w:t>Rreth nesh</w:t>
      </w:r>
    </w:p>
    <w:p w14:paraId="26970020" w14:textId="775D472E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r w:rsidRPr="002938E3">
        <w:rPr>
          <w:rFonts w:ascii="Times New Roman" w:hAnsi="Times New Roman" w:cs="Times New Roman"/>
          <w:sz w:val="24"/>
          <w:szCs w:val="24"/>
        </w:rPr>
        <w:t xml:space="preserve">Koalicioni Balkan Tender Watch (BTW) u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krijua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vitin 2012. Koalicioni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luftuar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parandaluar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korrupsionin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shndërrohet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qendër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korrupsion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qasje politike,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monitoruar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vazhdimësi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korrupsion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veçanërisht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publik,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BE.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Koalicionit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aktivë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qëllimeve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afatgjata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BTW, por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ndërmarrin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p w14:paraId="09EC8327" w14:textId="77777777" w:rsidR="00F541A2" w:rsidRPr="002938E3" w:rsidRDefault="00F541A2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Anëtarët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e koalicionit:</w:t>
      </w:r>
    </w:p>
    <w:p w14:paraId="0AF4006C" w14:textId="261955B9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Fondacioni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Hapur - KFOS</w:t>
      </w:r>
    </w:p>
    <w:p w14:paraId="51701322" w14:textId="77777777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Fondacioni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Hapur,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Serbi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;</w:t>
      </w:r>
    </w:p>
    <w:p w14:paraId="539AE062" w14:textId="025D7A6C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komunikim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civil, Maqedonia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Veriore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;</w:t>
      </w:r>
    </w:p>
    <w:p w14:paraId="779EF20E" w14:textId="77777777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Rrjeti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afirmimin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OJQ-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- MANS, Mali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Zi;</w:t>
      </w:r>
    </w:p>
    <w:p w14:paraId="27B8F6DA" w14:textId="0C1D293F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Hapur -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Bosnje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Hercegovinë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;</w:t>
      </w:r>
    </w:p>
    <w:p w14:paraId="20248447" w14:textId="77777777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</w:p>
    <w:p w14:paraId="33F36D11" w14:textId="7376CF5A" w:rsidR="00F541A2" w:rsidRPr="002938E3" w:rsidRDefault="00F541A2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Objektivat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Projektit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Balkan Tender Watch</w:t>
      </w:r>
    </w:p>
    <w:p w14:paraId="09669C0A" w14:textId="117C020C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projekti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ndikimit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korrupsion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publik</w:t>
      </w:r>
      <w:r w:rsidR="008A07D9" w:rsidRPr="002938E3">
        <w:rPr>
          <w:rFonts w:ascii="Times New Roman" w:hAnsi="Times New Roman" w:cs="Times New Roman"/>
          <w:sz w:val="24"/>
          <w:szCs w:val="24"/>
        </w:rPr>
        <w:t>,</w:t>
      </w:r>
      <w:r w:rsidRPr="002938E3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shfrytëzuar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integrimin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agjendë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transformuese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p w14:paraId="407CE3D4" w14:textId="65035C5C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r w:rsidRPr="002938E3">
        <w:rPr>
          <w:rFonts w:ascii="Times New Roman" w:hAnsi="Times New Roman" w:cs="Times New Roman"/>
          <w:sz w:val="24"/>
          <w:szCs w:val="24"/>
        </w:rPr>
        <w:t xml:space="preserve">Projekti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ndikojë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qeveritë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shteteve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Perendimor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mundësojnë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përgjegjshme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publik</w:t>
      </w:r>
      <w:r w:rsidR="008A07D9" w:rsidRPr="002938E3">
        <w:rPr>
          <w:rFonts w:ascii="Times New Roman" w:hAnsi="Times New Roman" w:cs="Times New Roman"/>
          <w:sz w:val="24"/>
          <w:szCs w:val="24"/>
        </w:rPr>
        <w:t>,</w:t>
      </w:r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me rregullat e BE-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aleancave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-</w:t>
      </w:r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gatshme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p w14:paraId="123D1EB3" w14:textId="4A18B5DD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rrisë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korrupsion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(OSHC-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mediat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Perendimor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>,</w:t>
      </w:r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iniciativat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avokim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mbikëqyrje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prokurim publik.</w:t>
      </w:r>
    </w:p>
    <w:p w14:paraId="4DCF74F8" w14:textId="77777777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</w:p>
    <w:p w14:paraId="576C053C" w14:textId="77777777" w:rsidR="002938E3" w:rsidRDefault="002938E3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A3970" w14:textId="77777777" w:rsidR="002938E3" w:rsidRDefault="002938E3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C733EC" w14:textId="506A507C" w:rsidR="00F541A2" w:rsidRPr="002938E3" w:rsidRDefault="00F541A2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Aktivitetet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projektit</w:t>
      </w:r>
      <w:proofErr w:type="spellEnd"/>
    </w:p>
    <w:p w14:paraId="371FB8CE" w14:textId="661C3DEA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tjera</w:t>
      </w:r>
      <w:r w:rsidRPr="002938E3">
        <w:rPr>
          <w:rFonts w:ascii="Times New Roman" w:hAnsi="Times New Roman" w:cs="Times New Roman"/>
          <w:sz w:val="24"/>
          <w:szCs w:val="24"/>
        </w:rPr>
        <w:t xml:space="preserve">, Koalicioni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organizojë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punëtori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r w:rsidR="008A07D9" w:rsidRPr="002938E3">
        <w:rPr>
          <w:rFonts w:ascii="Times New Roman" w:hAnsi="Times New Roman" w:cs="Times New Roman"/>
          <w:sz w:val="24"/>
          <w:szCs w:val="24"/>
        </w:rPr>
        <w:t>lokale (grassroot)</w:t>
      </w:r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rajoni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Perendimor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pajisë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ato</w:t>
      </w:r>
      <w:r w:rsidR="008A07D9" w:rsidRPr="002938E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ekspertizë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BTW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prokurim</w:t>
      </w:r>
      <w:r w:rsidR="008A07D9" w:rsidRPr="002938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Fokusi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vogla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gatshme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përqafojnë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r w:rsidR="008A07D9" w:rsidRPr="002938E3">
        <w:rPr>
          <w:rFonts w:ascii="Times New Roman" w:hAnsi="Times New Roman" w:cs="Times New Roman"/>
          <w:sz w:val="24"/>
          <w:szCs w:val="24"/>
        </w:rPr>
        <w:t>tone,</w:t>
      </w:r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pavarësisht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interesit. Nga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përfshijmë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ato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ekzistues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interesit, duke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ndërtuar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bazat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madh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fuqishëm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korrupsion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B</w:t>
      </w:r>
      <w:r w:rsidR="008A07D9" w:rsidRPr="002938E3">
        <w:rPr>
          <w:rFonts w:ascii="Times New Roman" w:hAnsi="Times New Roman" w:cs="Times New Roman"/>
          <w:sz w:val="24"/>
          <w:szCs w:val="24"/>
        </w:rPr>
        <w:t>allkanin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Perendimor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p w14:paraId="57018908" w14:textId="1C6E9DE8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r w:rsidRPr="002938E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përzgjidhen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trajnohen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r w:rsidR="008A07D9" w:rsidRPr="002938E3">
        <w:rPr>
          <w:rFonts w:ascii="Times New Roman" w:hAnsi="Times New Roman" w:cs="Times New Roman"/>
          <w:sz w:val="24"/>
          <w:szCs w:val="24"/>
        </w:rPr>
        <w:t>lokale (grassroot)</w:t>
      </w:r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secili vend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përfundojnë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ftohen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projekt propozim</w:t>
      </w:r>
      <w:r w:rsidR="008A07D9" w:rsidRPr="002938E3">
        <w:rPr>
          <w:rFonts w:ascii="Times New Roman" w:hAnsi="Times New Roman" w:cs="Times New Roman"/>
          <w:sz w:val="24"/>
          <w:szCs w:val="24"/>
        </w:rPr>
        <w:t>et,</w:t>
      </w:r>
      <w:r w:rsidRPr="002938E3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përqëndruar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lokale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lidhje me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prokurimin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ndryshme (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shëndetësi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mjedis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infrastrukturë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...). Propozimet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duhet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anëtarit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koalicionit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BTW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p w14:paraId="70F2DBB5" w14:textId="4B3685C1" w:rsidR="00F541A2" w:rsidRPr="002938E3" w:rsidRDefault="00F541A2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Nën-grante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organizatat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7D9" w:rsidRPr="002938E3">
        <w:rPr>
          <w:rFonts w:ascii="Times New Roman" w:hAnsi="Times New Roman" w:cs="Times New Roman"/>
          <w:b/>
          <w:bCs/>
          <w:sz w:val="24"/>
          <w:szCs w:val="24"/>
        </w:rPr>
        <w:t>lokale</w:t>
      </w:r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Pr="002938E3">
        <w:rPr>
          <w:rFonts w:ascii="Times New Roman" w:hAnsi="Times New Roman" w:cs="Times New Roman"/>
          <w:b/>
          <w:bCs/>
          <w:sz w:val="24"/>
          <w:szCs w:val="24"/>
        </w:rPr>
        <w:t>zgjedhura</w:t>
      </w:r>
      <w:proofErr w:type="spellEnd"/>
    </w:p>
    <w:p w14:paraId="2FE3ACDC" w14:textId="2D92D155" w:rsidR="00F541A2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r w:rsidRPr="002938E3"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50 organizatave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tërë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rajoni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10-20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përzgjidhen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fituar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nën-grante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shpërndahet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grante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deri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100</w:t>
      </w:r>
      <w:r w:rsidR="008A07D9" w:rsidRPr="002938E3">
        <w:rPr>
          <w:rFonts w:ascii="Times New Roman" w:hAnsi="Times New Roman" w:cs="Times New Roman"/>
          <w:sz w:val="24"/>
          <w:szCs w:val="24"/>
        </w:rPr>
        <w:t>,</w:t>
      </w:r>
      <w:r w:rsidRPr="002938E3">
        <w:rPr>
          <w:rFonts w:ascii="Times New Roman" w:hAnsi="Times New Roman" w:cs="Times New Roman"/>
          <w:sz w:val="24"/>
          <w:szCs w:val="24"/>
        </w:rPr>
        <w:t xml:space="preserve">000 </w:t>
      </w:r>
      <w:r w:rsidR="008A07D9" w:rsidRPr="002938E3">
        <w:rPr>
          <w:rFonts w:ascii="Times New Roman" w:hAnsi="Times New Roman" w:cs="Times New Roman"/>
          <w:sz w:val="24"/>
          <w:szCs w:val="24"/>
        </w:rPr>
        <w:t>E</w:t>
      </w:r>
      <w:r w:rsidRPr="002938E3">
        <w:rPr>
          <w:rFonts w:ascii="Times New Roman" w:hAnsi="Times New Roman" w:cs="Times New Roman"/>
          <w:sz w:val="24"/>
          <w:szCs w:val="24"/>
        </w:rPr>
        <w:t xml:space="preserve">uro. Propozimet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kujdes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rangohen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. Propozimet me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secili vend)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marrin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grante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Kohëzgjatja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projekteve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deri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p w14:paraId="4C6B425F" w14:textId="6D3241B7" w:rsidR="00F541A2" w:rsidRPr="002938E3" w:rsidRDefault="008A07D9" w:rsidP="00F541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Hapat</w:t>
      </w:r>
      <w:proofErr w:type="spellEnd"/>
      <w:r w:rsidRPr="002938E3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b/>
          <w:bCs/>
          <w:sz w:val="24"/>
          <w:szCs w:val="24"/>
        </w:rPr>
        <w:t>ardhshëm</w:t>
      </w:r>
      <w:proofErr w:type="spellEnd"/>
    </w:p>
    <w:p w14:paraId="1C8749B5" w14:textId="47494BF5" w:rsidR="00617953" w:rsidRPr="002938E3" w:rsidRDefault="00F541A2" w:rsidP="00F541A2">
      <w:pPr>
        <w:rPr>
          <w:rFonts w:ascii="Times New Roman" w:hAnsi="Times New Roman" w:cs="Times New Roman"/>
          <w:sz w:val="24"/>
          <w:szCs w:val="24"/>
        </w:rPr>
      </w:pPr>
      <w:r w:rsidRPr="002938E3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përfundimit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grantdhënies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përzgjedhura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takojnë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kolegët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tjera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rajonit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aktorët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relevantë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mblidhen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konferencën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vit do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A07D9"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D9" w:rsidRPr="002938E3">
        <w:rPr>
          <w:rFonts w:ascii="Times New Roman" w:hAnsi="Times New Roman" w:cs="Times New Roman"/>
          <w:sz w:val="24"/>
          <w:szCs w:val="24"/>
        </w:rPr>
        <w:t>Podgoricë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. Kjo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ngjarje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lehtësojë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rrjeti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organizatave </w:t>
      </w:r>
      <w:r w:rsidR="008A07D9" w:rsidRPr="002938E3">
        <w:rPr>
          <w:rFonts w:ascii="Times New Roman" w:hAnsi="Times New Roman" w:cs="Times New Roman"/>
          <w:sz w:val="24"/>
          <w:szCs w:val="24"/>
        </w:rPr>
        <w:t>lokale</w:t>
      </w:r>
      <w:r w:rsidRPr="002938E3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mes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dhe me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aktorët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E3">
        <w:rPr>
          <w:rFonts w:ascii="Times New Roman" w:hAnsi="Times New Roman" w:cs="Times New Roman"/>
          <w:sz w:val="24"/>
          <w:szCs w:val="24"/>
        </w:rPr>
        <w:t>relevantë</w:t>
      </w:r>
      <w:proofErr w:type="spellEnd"/>
      <w:r w:rsidRPr="002938E3">
        <w:rPr>
          <w:rFonts w:ascii="Times New Roman" w:hAnsi="Times New Roman" w:cs="Times New Roman"/>
          <w:sz w:val="24"/>
          <w:szCs w:val="24"/>
        </w:rPr>
        <w:t>.</w:t>
      </w:r>
    </w:p>
    <w:sectPr w:rsidR="00617953" w:rsidRPr="002938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FBB8" w14:textId="77777777" w:rsidR="008A07D9" w:rsidRDefault="008A07D9" w:rsidP="008A07D9">
      <w:pPr>
        <w:spacing w:after="0" w:line="240" w:lineRule="auto"/>
      </w:pPr>
      <w:r>
        <w:separator/>
      </w:r>
    </w:p>
  </w:endnote>
  <w:endnote w:type="continuationSeparator" w:id="0">
    <w:p w14:paraId="7804CFFD" w14:textId="77777777" w:rsidR="008A07D9" w:rsidRDefault="008A07D9" w:rsidP="008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868A" w14:textId="77777777" w:rsidR="008A07D9" w:rsidRDefault="008A07D9" w:rsidP="008A07D9">
      <w:pPr>
        <w:spacing w:after="0" w:line="240" w:lineRule="auto"/>
      </w:pPr>
      <w:r>
        <w:separator/>
      </w:r>
    </w:p>
  </w:footnote>
  <w:footnote w:type="continuationSeparator" w:id="0">
    <w:p w14:paraId="6DBC1C01" w14:textId="77777777" w:rsidR="008A07D9" w:rsidRDefault="008A07D9" w:rsidP="008A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CF57" w14:textId="0C9D4E9F" w:rsidR="008A07D9" w:rsidRDefault="008A07D9">
    <w:pPr>
      <w:pStyle w:val="Header"/>
    </w:pPr>
    <w:r w:rsidRPr="00A32147">
      <w:rPr>
        <w:rFonts w:ascii="Arial" w:hAnsi="Arial" w:cs="Arial"/>
        <w:bCs/>
        <w:noProof/>
        <w:sz w:val="32"/>
        <w:szCs w:val="32"/>
        <w:lang w:val="mk-MK" w:eastAsia="mk-MK"/>
      </w:rPr>
      <w:drawing>
        <wp:anchor distT="0" distB="0" distL="114300" distR="114300" simplePos="0" relativeHeight="251659264" behindDoc="0" locked="0" layoutInCell="1" allowOverlap="1" wp14:anchorId="73C779F8" wp14:editId="09DDF37F">
          <wp:simplePos x="0" y="0"/>
          <wp:positionH relativeFrom="column">
            <wp:posOffset>3873500</wp:posOffset>
          </wp:positionH>
          <wp:positionV relativeFrom="paragraph">
            <wp:posOffset>6350</wp:posOffset>
          </wp:positionV>
          <wp:extent cx="2000250" cy="876300"/>
          <wp:effectExtent l="0" t="0" r="0" b="0"/>
          <wp:wrapSquare wrapText="bothSides"/>
          <wp:docPr id="4" name="Picture 7" descr="C:\Users\ana.kosela\AppData\Local\Microsoft\Windows\Temporary Internet Files\Content.Outlook\0Q6CGMJT\BTW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a.kosela\AppData\Local\Microsoft\Windows\Temporary Internet Files\Content.Outlook\0Q6CGMJT\BTW logo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147">
      <w:rPr>
        <w:noProof/>
        <w:lang w:val="mk-MK" w:eastAsia="mk-MK"/>
      </w:rPr>
      <w:drawing>
        <wp:inline distT="0" distB="0" distL="0" distR="0" wp14:anchorId="2E0626F7" wp14:editId="78E7E269">
          <wp:extent cx="1485900" cy="990600"/>
          <wp:effectExtent l="0" t="0" r="0" b="0"/>
          <wp:docPr id="3" name="Picture 3" descr="Резултат со слика за eu flag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о слика за eu flag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85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A2"/>
    <w:rsid w:val="002938E3"/>
    <w:rsid w:val="00617953"/>
    <w:rsid w:val="007F4194"/>
    <w:rsid w:val="008A07D9"/>
    <w:rsid w:val="00F5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60E8"/>
  <w15:chartTrackingRefBased/>
  <w15:docId w15:val="{F640764D-6A99-42E1-A8D3-86EDB3D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D9"/>
  </w:style>
  <w:style w:type="paragraph" w:styleId="Footer">
    <w:name w:val="footer"/>
    <w:basedOn w:val="Normal"/>
    <w:link w:val="FooterChar"/>
    <w:uiPriority w:val="99"/>
    <w:unhideWhenUsed/>
    <w:rsid w:val="008A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Denion Galimuna</dc:creator>
  <cp:keywords/>
  <dc:description/>
  <cp:lastModifiedBy>Denion Galimuna</cp:lastModifiedBy>
  <cp:revision>2</cp:revision>
  <dcterms:created xsi:type="dcterms:W3CDTF">2019-06-19T08:36:00Z</dcterms:created>
  <dcterms:modified xsi:type="dcterms:W3CDTF">2019-06-19T09:26:00Z</dcterms:modified>
</cp:coreProperties>
</file>